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4D" w:rsidRDefault="0099204D" w:rsidP="0099204D">
      <w:pPr>
        <w:spacing w:line="321" w:lineRule="exact"/>
      </w:pPr>
    </w:p>
    <w:tbl>
      <w:tblPr>
        <w:tblpPr w:leftFromText="180" w:rightFromText="180" w:bottomFromText="200" w:vertAnchor="text" w:horzAnchor="margin" w:tblpXSpec="center" w:tblpY="-2838"/>
        <w:tblW w:w="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99204D" w:rsidTr="0099204D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204D" w:rsidRDefault="0099204D">
            <w:pPr>
              <w:pStyle w:val="5"/>
              <w:rPr>
                <w:lang w:eastAsia="en-US"/>
              </w:rPr>
            </w:pPr>
            <w:r>
              <w:br w:type="page"/>
            </w:r>
          </w:p>
          <w:p w:rsidR="0099204D" w:rsidRDefault="0099204D">
            <w:pPr>
              <w:pStyle w:val="5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9204D" w:rsidRDefault="0099204D">
            <w:pPr>
              <w:spacing w:line="20" w:lineRule="atLeast"/>
              <w:ind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99204D" w:rsidRDefault="0099204D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>«Хакуринохабльское сельское поселение»</w:t>
            </w:r>
          </w:p>
          <w:p w:rsidR="0099204D" w:rsidRDefault="0099204D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lang w:eastAsia="en-US"/>
              </w:rPr>
              <w:t>Хакуринохабль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99204D" w:rsidRDefault="0099204D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ул. </w:t>
            </w:r>
            <w:proofErr w:type="spellStart"/>
            <w:r>
              <w:rPr>
                <w:b/>
                <w:i/>
                <w:lang w:eastAsia="en-US"/>
              </w:rPr>
              <w:t>Шовгенова</w:t>
            </w:r>
            <w:proofErr w:type="spellEnd"/>
            <w:r>
              <w:rPr>
                <w:b/>
                <w:i/>
                <w:lang w:eastAsia="en-US"/>
              </w:rPr>
              <w:t>, 13</w:t>
            </w:r>
          </w:p>
          <w:p w:rsidR="0099204D" w:rsidRDefault="0099204D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204D" w:rsidRDefault="0099204D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99204D" w:rsidRDefault="0099204D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84373900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204D" w:rsidRDefault="0099204D">
            <w:pPr>
              <w:pStyle w:val="5"/>
              <w:rPr>
                <w:lang w:eastAsia="en-US"/>
              </w:rPr>
            </w:pPr>
          </w:p>
          <w:p w:rsidR="0099204D" w:rsidRDefault="0099204D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9204D" w:rsidRDefault="0099204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Хьакурынэхьаблэ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99204D" w:rsidRDefault="0099204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Хьакурынэхьабл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99204D" w:rsidRDefault="0099204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Шэуджэнымным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13</w:t>
            </w:r>
          </w:p>
        </w:tc>
      </w:tr>
    </w:tbl>
    <w:p w:rsidR="0099204D" w:rsidRDefault="0099204D" w:rsidP="0099204D">
      <w:pPr>
        <w:spacing w:line="321" w:lineRule="exact"/>
        <w:jc w:val="right"/>
      </w:pPr>
    </w:p>
    <w:p w:rsidR="0099204D" w:rsidRDefault="0099204D" w:rsidP="0099204D">
      <w:pPr>
        <w:jc w:val="center"/>
        <w:rPr>
          <w:rFonts w:cs="Mangal"/>
          <w:b/>
          <w:kern w:val="24"/>
          <w:sz w:val="28"/>
          <w:szCs w:val="28"/>
        </w:rPr>
      </w:pPr>
      <w:r>
        <w:rPr>
          <w:rFonts w:cs="Mangal"/>
          <w:b/>
          <w:kern w:val="24"/>
          <w:sz w:val="28"/>
          <w:szCs w:val="28"/>
        </w:rPr>
        <w:t>ПОСТАНОВЛЕНИЕ</w:t>
      </w:r>
    </w:p>
    <w:p w:rsidR="0099204D" w:rsidRDefault="0099204D" w:rsidP="0099204D">
      <w:pPr>
        <w:jc w:val="center"/>
        <w:rPr>
          <w:rFonts w:cs="Mangal"/>
          <w:b/>
          <w:kern w:val="24"/>
          <w:sz w:val="28"/>
          <w:szCs w:val="28"/>
        </w:rPr>
      </w:pPr>
      <w:r>
        <w:rPr>
          <w:rFonts w:cs="Mangal"/>
          <w:b/>
          <w:kern w:val="24"/>
          <w:sz w:val="28"/>
          <w:szCs w:val="28"/>
        </w:rPr>
        <w:t xml:space="preserve">    от «05» августа 2024года №31</w:t>
      </w:r>
    </w:p>
    <w:p w:rsidR="0099204D" w:rsidRDefault="0099204D" w:rsidP="0099204D">
      <w:pPr>
        <w:jc w:val="center"/>
        <w:rPr>
          <w:rFonts w:cs="Mangal"/>
          <w:b/>
          <w:kern w:val="24"/>
          <w:sz w:val="28"/>
          <w:szCs w:val="28"/>
        </w:rPr>
      </w:pPr>
      <w:proofErr w:type="spellStart"/>
      <w:r>
        <w:rPr>
          <w:rFonts w:cs="Mangal"/>
          <w:b/>
          <w:kern w:val="24"/>
          <w:sz w:val="28"/>
          <w:szCs w:val="28"/>
        </w:rPr>
        <w:t>а.Х</w:t>
      </w:r>
      <w:bookmarkStart w:id="0" w:name="_GoBack"/>
      <w:bookmarkEnd w:id="0"/>
      <w:r>
        <w:rPr>
          <w:rFonts w:cs="Mangal"/>
          <w:b/>
          <w:kern w:val="24"/>
          <w:sz w:val="28"/>
          <w:szCs w:val="28"/>
        </w:rPr>
        <w:t>акуринохабль</w:t>
      </w:r>
      <w:proofErr w:type="spellEnd"/>
    </w:p>
    <w:p w:rsidR="0099204D" w:rsidRDefault="0099204D" w:rsidP="0099204D">
      <w:pPr>
        <w:rPr>
          <w:rFonts w:cs="Mangal"/>
          <w:b/>
          <w:kern w:val="24"/>
          <w:sz w:val="28"/>
          <w:szCs w:val="28"/>
        </w:rPr>
      </w:pPr>
    </w:p>
    <w:p w:rsidR="0099204D" w:rsidRDefault="0099204D" w:rsidP="0099204D">
      <w:pPr>
        <w:ind w:left="284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некоторых мерах по поощрению в 2024 году региональных и муниципальных управленческих команд муниципального образования «Хакуринохабльское сельское поселение» по достижению Республикой Адыгея в 2023 году значений (уровней) показателей для оценки эффективности деятельности Главы Республики Адыгея и деятельности органов </w:t>
      </w:r>
      <w:r w:rsidR="00D56267">
        <w:rPr>
          <w:b/>
          <w:color w:val="000000"/>
          <w:sz w:val="28"/>
          <w:szCs w:val="28"/>
        </w:rPr>
        <w:t>исполнительной власти</w:t>
      </w:r>
      <w:r>
        <w:rPr>
          <w:b/>
          <w:color w:val="000000"/>
          <w:sz w:val="28"/>
          <w:szCs w:val="28"/>
        </w:rPr>
        <w:t xml:space="preserve"> Республики Адыгея»</w:t>
      </w:r>
    </w:p>
    <w:p w:rsidR="0099204D" w:rsidRDefault="0099204D" w:rsidP="0099204D">
      <w:pPr>
        <w:ind w:left="284" w:firstLine="709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D56267" w:rsidRDefault="00D56267" w:rsidP="00D56267">
      <w:pPr>
        <w:spacing w:after="120" w:line="270" w:lineRule="atLeast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06 июня 2024 года № 769 «О поощрении субъектов Российской Федерации  за достижение значений (уровней) показателей для оценки эффективности деятельности высших должностных лиц субъектов Российской Федерации  и деятельности исполнительных органов власти субъектов Российской Федерации в 2024 году», распоряжением Правительства Российской Федерации от 06 июня 2024 года № 1434-р, Указом Главы Республики Адыгея от 11 июля 2024 года № 82 «О региональных и муниципальных управленческих командах по достижению Республикой Адыгея в 2023 году значений (уровней) показателей для оценки эффективности деятельности Главы Республики Адыгея и деятельности органов исполнительной  власти Республики Адыгея»,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постановлением Кабинета Министров Республики Адыгея от 15 июля 2024г. №105 «О некоторых мерах по поощрению в 2024 году региональных и муниципальных управленческих команд по достижению Республикой Адыгея в 2023 году значений (уровней) показателей для оценки эффективности деятельности Главы Республики Адыгея и деятельности органов исполнительной власти Республики Адыгея»,</w:t>
      </w:r>
      <w:r>
        <w:rPr>
          <w:color w:val="000000"/>
          <w:sz w:val="28"/>
          <w:szCs w:val="28"/>
        </w:rPr>
        <w:t xml:space="preserve"> постановлением главы муниципального образования «</w:t>
      </w:r>
      <w:r>
        <w:rPr>
          <w:sz w:val="28"/>
          <w:szCs w:val="28"/>
          <w:lang w:eastAsia="ar-SA"/>
        </w:rPr>
        <w:t xml:space="preserve">Хакуринохабльское </w:t>
      </w:r>
      <w:r>
        <w:rPr>
          <w:color w:val="000000"/>
          <w:sz w:val="28"/>
          <w:szCs w:val="28"/>
        </w:rPr>
        <w:t>сельское поселение»</w:t>
      </w:r>
      <w:r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от 5 августа  2024 года №30  «О муниципальной управленческой команде муниципального образования «</w:t>
      </w:r>
      <w:r>
        <w:rPr>
          <w:sz w:val="28"/>
          <w:szCs w:val="28"/>
          <w:lang w:eastAsia="ar-SA"/>
        </w:rPr>
        <w:t xml:space="preserve">Хакуринохабльское </w:t>
      </w:r>
      <w:r>
        <w:rPr>
          <w:sz w:val="28"/>
          <w:szCs w:val="28"/>
        </w:rPr>
        <w:t>сельское поселение» по достижению значений (уровней) показателей для оценки эффективности деятельности Главы Республики Адыгея и деятельности исполнительной  власти Республики Адыгея в 2024 году»</w:t>
      </w:r>
    </w:p>
    <w:p w:rsidR="00D56267" w:rsidRDefault="00D56267" w:rsidP="00D56267">
      <w:pPr>
        <w:spacing w:after="120" w:line="270" w:lineRule="atLeast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</w:t>
      </w:r>
    </w:p>
    <w:p w:rsidR="00D56267" w:rsidRDefault="00D56267" w:rsidP="00D56267">
      <w:pPr>
        <w:spacing w:after="120" w:line="270" w:lineRule="atLeast"/>
        <w:ind w:left="284" w:firstLine="709"/>
        <w:jc w:val="center"/>
        <w:rPr>
          <w:b/>
          <w:color w:val="000000"/>
          <w:sz w:val="26"/>
          <w:szCs w:val="26"/>
        </w:rPr>
      </w:pPr>
    </w:p>
    <w:p w:rsidR="00D56267" w:rsidRDefault="00D56267" w:rsidP="00D56267">
      <w:pPr>
        <w:spacing w:after="120" w:line="270" w:lineRule="atLeast"/>
        <w:ind w:left="284"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ПОСТАНОВЛЯЮ:</w:t>
      </w:r>
    </w:p>
    <w:p w:rsidR="00D56267" w:rsidRDefault="00D56267" w:rsidP="00D5626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Порядок поощрения муниципальной управленческой команды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Хакуринохабльское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сельское поселение» по достижению в 2023 году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в 2024 году согласно приложению. </w:t>
      </w:r>
    </w:p>
    <w:p w:rsidR="00D56267" w:rsidRDefault="00D56267" w:rsidP="00D56267">
      <w:pPr>
        <w:pStyle w:val="a5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56267" w:rsidRDefault="00D56267" w:rsidP="00D5626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Заместителю главы администрации-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Чамоковой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М.Х. обеспечить финансирование вышеназванных средств.</w:t>
      </w:r>
    </w:p>
    <w:p w:rsidR="00D56267" w:rsidRDefault="00D56267" w:rsidP="00D56267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6267" w:rsidRDefault="00D56267" w:rsidP="00D5626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Настоящее постановление вступает в силу со дня его принятия.</w:t>
      </w:r>
    </w:p>
    <w:p w:rsidR="00D56267" w:rsidRDefault="00D56267" w:rsidP="00D56267">
      <w:pPr>
        <w:pStyle w:val="a7"/>
        <w:rPr>
          <w:sz w:val="28"/>
          <w:szCs w:val="28"/>
        </w:rPr>
      </w:pPr>
    </w:p>
    <w:p w:rsidR="00D56267" w:rsidRDefault="00D56267" w:rsidP="00D56267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6267" w:rsidRDefault="00D56267" w:rsidP="00D56267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6267" w:rsidRDefault="00D56267" w:rsidP="00D56267">
      <w:pPr>
        <w:pStyle w:val="a5"/>
        <w:autoSpaceDE w:val="0"/>
        <w:autoSpaceDN w:val="0"/>
        <w:adjustRightInd w:val="0"/>
        <w:ind w:left="-76" w:right="1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  <w:t>Глава муниципального образования</w:t>
      </w:r>
    </w:p>
    <w:p w:rsidR="00D56267" w:rsidRDefault="00D56267" w:rsidP="00D56267">
      <w:pPr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«Хакуринохабльское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Н.П. Меретуков</w:t>
      </w:r>
    </w:p>
    <w:p w:rsidR="00D56267" w:rsidRDefault="00D56267" w:rsidP="00D56267">
      <w:pPr>
        <w:ind w:left="284" w:right="169"/>
        <w:jc w:val="both"/>
        <w:rPr>
          <w:sz w:val="28"/>
          <w:szCs w:val="28"/>
        </w:rPr>
      </w:pPr>
    </w:p>
    <w:p w:rsidR="00D56267" w:rsidRDefault="00D56267" w:rsidP="00D56267">
      <w:pPr>
        <w:ind w:left="284" w:right="169"/>
        <w:jc w:val="both"/>
        <w:rPr>
          <w:sz w:val="28"/>
          <w:szCs w:val="28"/>
        </w:rPr>
      </w:pPr>
    </w:p>
    <w:p w:rsidR="0099204D" w:rsidRDefault="0099204D" w:rsidP="0099204D">
      <w:pPr>
        <w:ind w:left="284" w:right="169"/>
        <w:jc w:val="both"/>
        <w:rPr>
          <w:sz w:val="28"/>
          <w:szCs w:val="28"/>
        </w:rPr>
      </w:pPr>
    </w:p>
    <w:p w:rsidR="0099204D" w:rsidRDefault="0099204D" w:rsidP="0099204D">
      <w:pPr>
        <w:ind w:left="284" w:right="169"/>
        <w:jc w:val="both"/>
        <w:rPr>
          <w:sz w:val="28"/>
          <w:szCs w:val="28"/>
        </w:rPr>
      </w:pPr>
    </w:p>
    <w:p w:rsidR="0099204D" w:rsidRDefault="0099204D" w:rsidP="0099204D">
      <w:pPr>
        <w:ind w:left="284" w:right="169"/>
        <w:jc w:val="both"/>
        <w:rPr>
          <w:sz w:val="28"/>
          <w:szCs w:val="28"/>
        </w:rPr>
      </w:pPr>
    </w:p>
    <w:p w:rsidR="0099204D" w:rsidRDefault="0099204D" w:rsidP="0099204D">
      <w:pPr>
        <w:ind w:left="284" w:right="169"/>
        <w:jc w:val="both"/>
        <w:rPr>
          <w:sz w:val="28"/>
          <w:szCs w:val="28"/>
        </w:rPr>
      </w:pPr>
    </w:p>
    <w:p w:rsidR="0099204D" w:rsidRDefault="0099204D" w:rsidP="0099204D">
      <w:pPr>
        <w:ind w:left="284" w:right="169"/>
        <w:jc w:val="both"/>
        <w:rPr>
          <w:sz w:val="28"/>
          <w:szCs w:val="28"/>
        </w:rPr>
      </w:pPr>
    </w:p>
    <w:p w:rsidR="0099204D" w:rsidRDefault="0099204D" w:rsidP="0099204D">
      <w:pPr>
        <w:ind w:left="284" w:right="169"/>
        <w:jc w:val="both"/>
        <w:rPr>
          <w:sz w:val="28"/>
          <w:szCs w:val="28"/>
        </w:rPr>
      </w:pPr>
    </w:p>
    <w:p w:rsidR="0099204D" w:rsidRDefault="0099204D" w:rsidP="0099204D">
      <w:pPr>
        <w:ind w:left="284" w:right="169"/>
        <w:jc w:val="both"/>
        <w:rPr>
          <w:sz w:val="28"/>
          <w:szCs w:val="28"/>
        </w:rPr>
      </w:pPr>
    </w:p>
    <w:p w:rsidR="0099204D" w:rsidRDefault="0099204D" w:rsidP="0099204D">
      <w:pPr>
        <w:ind w:left="284" w:right="169"/>
        <w:jc w:val="both"/>
        <w:rPr>
          <w:sz w:val="28"/>
          <w:szCs w:val="28"/>
        </w:rPr>
      </w:pPr>
    </w:p>
    <w:p w:rsidR="0099204D" w:rsidRDefault="0099204D" w:rsidP="0099204D">
      <w:pPr>
        <w:ind w:left="284" w:right="169"/>
        <w:jc w:val="both"/>
        <w:rPr>
          <w:sz w:val="28"/>
          <w:szCs w:val="28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9204D" w:rsidRDefault="0099204D" w:rsidP="0099204D">
      <w:pPr>
        <w:ind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6E4CDC" w:rsidRDefault="006E4CDC" w:rsidP="0099204D">
      <w:pPr>
        <w:ind w:left="284" w:right="169"/>
        <w:jc w:val="both"/>
        <w:rPr>
          <w:sz w:val="26"/>
          <w:szCs w:val="26"/>
        </w:rPr>
      </w:pPr>
    </w:p>
    <w:p w:rsidR="006E4CDC" w:rsidRDefault="006E4CDC" w:rsidP="0099204D">
      <w:pPr>
        <w:ind w:left="284" w:right="169"/>
        <w:jc w:val="both"/>
        <w:rPr>
          <w:sz w:val="26"/>
          <w:szCs w:val="26"/>
        </w:rPr>
      </w:pPr>
    </w:p>
    <w:p w:rsidR="006E4CDC" w:rsidRDefault="006E4CDC" w:rsidP="0099204D">
      <w:pPr>
        <w:ind w:left="284" w:right="169"/>
        <w:jc w:val="both"/>
        <w:rPr>
          <w:sz w:val="26"/>
          <w:szCs w:val="26"/>
        </w:rPr>
      </w:pPr>
    </w:p>
    <w:p w:rsidR="006E4CDC" w:rsidRDefault="006E4CDC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ind w:left="284" w:right="169"/>
        <w:jc w:val="both"/>
        <w:rPr>
          <w:sz w:val="26"/>
          <w:szCs w:val="26"/>
        </w:rPr>
      </w:pPr>
    </w:p>
    <w:p w:rsidR="0099204D" w:rsidRDefault="0099204D" w:rsidP="0099204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Приложение </w:t>
      </w:r>
    </w:p>
    <w:p w:rsidR="0099204D" w:rsidRDefault="0099204D" w:rsidP="0099204D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главы МО</w:t>
      </w:r>
    </w:p>
    <w:p w:rsidR="0099204D" w:rsidRDefault="0099204D" w:rsidP="0099204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«Хакуринохабльское сельское поселение» </w:t>
      </w:r>
    </w:p>
    <w:p w:rsidR="0099204D" w:rsidRDefault="0099204D" w:rsidP="0099204D">
      <w:pPr>
        <w:jc w:val="right"/>
        <w:rPr>
          <w:sz w:val="26"/>
          <w:szCs w:val="26"/>
        </w:rPr>
      </w:pPr>
      <w:r>
        <w:rPr>
          <w:sz w:val="26"/>
          <w:szCs w:val="26"/>
        </w:rPr>
        <w:t>«05» августа 2024г. №31</w:t>
      </w:r>
    </w:p>
    <w:p w:rsidR="0099204D" w:rsidRDefault="0099204D" w:rsidP="0099204D">
      <w:pPr>
        <w:pStyle w:val="Standard"/>
        <w:ind w:left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</w:t>
      </w:r>
    </w:p>
    <w:p w:rsidR="0099204D" w:rsidRDefault="0099204D" w:rsidP="0099204D">
      <w:pPr>
        <w:pStyle w:val="Standard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поощрения муниципальной управленческой команды муниципального образования «Хакуринохабльское сельское поселение»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в 2024 году </w:t>
      </w:r>
    </w:p>
    <w:p w:rsidR="0099204D" w:rsidRDefault="0099204D" w:rsidP="0099204D">
      <w:pPr>
        <w:pStyle w:val="Standard"/>
        <w:ind w:left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204D" w:rsidRDefault="0099204D" w:rsidP="0099204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Настоящий Порядок определяет механизм поощрения муниципальной управленческой команды муниципального образования «Хакуринохабльское сельское поселение»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в 2023 году (далее соответственно – муниципальная управленческая команда, показатели).</w:t>
      </w:r>
    </w:p>
    <w:p w:rsidR="0099204D" w:rsidRDefault="0099204D" w:rsidP="0099204D">
      <w:pPr>
        <w:tabs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Поощрение муниципальной управленческой команды осуществляется за </w:t>
      </w:r>
      <w:proofErr w:type="gramStart"/>
      <w:r>
        <w:rPr>
          <w:sz w:val="28"/>
          <w:szCs w:val="28"/>
          <w:lang w:eastAsia="ar-SA"/>
        </w:rPr>
        <w:t>счет  межбюджетных</w:t>
      </w:r>
      <w:proofErr w:type="gramEnd"/>
      <w:r>
        <w:rPr>
          <w:sz w:val="28"/>
          <w:szCs w:val="28"/>
          <w:lang w:eastAsia="ar-SA"/>
        </w:rPr>
        <w:t xml:space="preserve"> трансфертов в форме дотаций (грантов) в 2024 году из бюджета муниципального образования «Шовгеновский район» за достижение показателей деятельности органов исполнительной власти субъектов Российской Федерации (далее – средства).</w:t>
      </w:r>
    </w:p>
    <w:p w:rsidR="0099204D" w:rsidRDefault="0099204D" w:rsidP="0099204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proofErr w:type="spellStart"/>
      <w:r>
        <w:rPr>
          <w:sz w:val="28"/>
          <w:szCs w:val="28"/>
          <w:lang w:eastAsia="ar-SA"/>
        </w:rPr>
        <w:t>Обьем</w:t>
      </w:r>
      <w:proofErr w:type="spellEnd"/>
      <w:r>
        <w:rPr>
          <w:sz w:val="28"/>
          <w:szCs w:val="28"/>
          <w:lang w:eastAsia="ar-SA"/>
        </w:rPr>
        <w:t xml:space="preserve"> средств на поощрение муниципальных управленческих команд, сформирован в соответствии с </w:t>
      </w:r>
      <w:r>
        <w:rPr>
          <w:color w:val="000000"/>
          <w:sz w:val="28"/>
          <w:szCs w:val="28"/>
        </w:rPr>
        <w:t>Указом Главы Республики Адыгея от 11 июля 2024 года № 82 «О региональных и муниципальных управленческих командах по достижению Республикой Адыгея в 2023 году значений (уровней) показателей для оценки эффективности деятельности Главы Республики Адыгея и деятельности органов исполнительной  власти Республики Адыгея»,(далее-Указ)</w:t>
      </w:r>
      <w:r>
        <w:rPr>
          <w:sz w:val="28"/>
          <w:szCs w:val="28"/>
          <w:lang w:eastAsia="ar-SA"/>
        </w:rPr>
        <w:t xml:space="preserve"> определяется</w:t>
      </w:r>
      <w:r>
        <w:rPr>
          <w:sz w:val="28"/>
          <w:szCs w:val="28"/>
        </w:rPr>
        <w:t xml:space="preserve"> в процентном соотношении от объема поступивших в бюджет муниципального образования «</w:t>
      </w:r>
      <w:r>
        <w:rPr>
          <w:sz w:val="28"/>
          <w:szCs w:val="28"/>
          <w:lang w:eastAsia="ar-SA"/>
        </w:rPr>
        <w:t xml:space="preserve">Хакуринохабльское </w:t>
      </w:r>
      <w:r>
        <w:rPr>
          <w:sz w:val="28"/>
          <w:szCs w:val="28"/>
        </w:rPr>
        <w:t>сельское поселение» средств и рассчитывается в тысячах рублей с округлением до трех десятичных знаков после запятой:</w:t>
      </w:r>
    </w:p>
    <w:p w:rsidR="0099204D" w:rsidRDefault="0099204D" w:rsidP="0099204D">
      <w:pPr>
        <w:pStyle w:val="a5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1)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главе</w:t>
      </w:r>
      <w:r w:rsidR="00D331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образования «Хакуринохабльское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(исполняющего обязанности главы) -57,74% от объёма;</w:t>
      </w:r>
    </w:p>
    <w:p w:rsidR="0099204D" w:rsidRDefault="0099204D" w:rsidP="0099204D">
      <w:pPr>
        <w:tabs>
          <w:tab w:val="left" w:pos="284"/>
        </w:tabs>
        <w:suppressAutoHyphens/>
        <w:jc w:val="both"/>
        <w:rPr>
          <w:sz w:val="28"/>
          <w:szCs w:val="28"/>
          <w:lang w:eastAsia="ar-SA"/>
        </w:rPr>
      </w:pPr>
      <w:r>
        <w:rPr>
          <w:color w:val="C00000"/>
          <w:sz w:val="28"/>
          <w:szCs w:val="28"/>
        </w:rPr>
        <w:t xml:space="preserve">     </w:t>
      </w:r>
      <w:r>
        <w:rPr>
          <w:sz w:val="28"/>
          <w:szCs w:val="28"/>
        </w:rPr>
        <w:t>2) по муниципальным служащим, участвующим в мероприятиях по достижению значений (уровней) показателя(-ей) (</w:t>
      </w:r>
      <w:proofErr w:type="gramStart"/>
      <w:r>
        <w:rPr>
          <w:sz w:val="28"/>
          <w:szCs w:val="28"/>
          <w:lang w:val="en-US"/>
        </w:rPr>
        <w:t>KPI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составе показателя  (-ей)), –42,26% от объема.</w:t>
      </w:r>
    </w:p>
    <w:p w:rsidR="0099204D" w:rsidRDefault="0099204D" w:rsidP="0099204D">
      <w:pPr>
        <w:suppressAutoHyphens/>
        <w:ind w:left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Поощрение главы </w:t>
      </w:r>
      <w:r>
        <w:rPr>
          <w:sz w:val="28"/>
          <w:szCs w:val="28"/>
        </w:rPr>
        <w:t>муниципального образования «</w:t>
      </w:r>
      <w:r>
        <w:rPr>
          <w:sz w:val="28"/>
          <w:szCs w:val="28"/>
          <w:lang w:eastAsia="ar-SA"/>
        </w:rPr>
        <w:t xml:space="preserve">Хакуринохабльское </w:t>
      </w:r>
      <w:r>
        <w:rPr>
          <w:sz w:val="28"/>
          <w:szCs w:val="28"/>
        </w:rPr>
        <w:t>сельское поселение»</w:t>
      </w:r>
      <w:r w:rsidR="00D33147" w:rsidRPr="00D33147">
        <w:rPr>
          <w:color w:val="000000"/>
          <w:sz w:val="28"/>
          <w:szCs w:val="28"/>
        </w:rPr>
        <w:t xml:space="preserve"> </w:t>
      </w:r>
      <w:r w:rsidR="00D33147">
        <w:rPr>
          <w:color w:val="000000"/>
          <w:sz w:val="28"/>
          <w:szCs w:val="28"/>
        </w:rPr>
        <w:t xml:space="preserve">(исполняющего обязанности </w:t>
      </w:r>
      <w:proofErr w:type="gramStart"/>
      <w:r w:rsidR="00D33147">
        <w:rPr>
          <w:color w:val="000000"/>
          <w:sz w:val="28"/>
          <w:szCs w:val="28"/>
        </w:rPr>
        <w:t xml:space="preserve">главы)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осуществляется</w:t>
      </w:r>
      <w:proofErr w:type="gramEnd"/>
      <w:r>
        <w:rPr>
          <w:sz w:val="28"/>
          <w:szCs w:val="28"/>
          <w:lang w:eastAsia="ar-SA"/>
        </w:rPr>
        <w:t xml:space="preserve"> в размере, указанном в подпункте 1 пункта 3 настоящего порядка от объема средств.  </w:t>
      </w:r>
    </w:p>
    <w:p w:rsidR="0099204D" w:rsidRDefault="0099204D" w:rsidP="0099204D">
      <w:pPr>
        <w:suppressAutoHyphens/>
        <w:ind w:left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 Конкретный размер поощрения члена муниципальной управленческой команды муниципальных служащих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lastRenderedPageBreak/>
        <w:t>«</w:t>
      </w:r>
      <w:r>
        <w:rPr>
          <w:sz w:val="28"/>
          <w:szCs w:val="28"/>
          <w:lang w:eastAsia="ar-SA"/>
        </w:rPr>
        <w:t xml:space="preserve">Хакуринохабльское </w:t>
      </w:r>
      <w:r>
        <w:rPr>
          <w:sz w:val="28"/>
          <w:szCs w:val="28"/>
        </w:rPr>
        <w:t>сельское поселение»</w:t>
      </w:r>
      <w:r>
        <w:rPr>
          <w:sz w:val="28"/>
          <w:szCs w:val="28"/>
          <w:lang w:eastAsia="ar-SA"/>
        </w:rPr>
        <w:t>, осуществляется в размере 16,66666667%, указанном в подпункте 2 пункта 3 настоящего порядка от объема средств, без учета применения поправочных коэффициентов. При определении конкретного размера поощрения лиц, сумма поощрения подлежит округлению до целого рубля.</w:t>
      </w:r>
    </w:p>
    <w:p w:rsidR="0099204D" w:rsidRDefault="0099204D" w:rsidP="0099204D">
      <w:pPr>
        <w:shd w:val="clear" w:color="auto" w:fill="FFFFFF" w:themeFill="background1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6. Объём средств, выделяемых местному бюджету на поощрение муниципальных служащих , работников органов местного самоуправления , не являющихся муниципальными служащими , участвующих в мероприятиях по достижению  значений (уровня) показателя (ей) (</w:t>
      </w:r>
      <w:r>
        <w:rPr>
          <w:sz w:val="28"/>
          <w:szCs w:val="28"/>
          <w:lang w:val="en-US" w:eastAsia="ar-SA"/>
        </w:rPr>
        <w:t>KPI</w:t>
      </w:r>
      <w:r>
        <w:rPr>
          <w:sz w:val="28"/>
          <w:szCs w:val="28"/>
          <w:lang w:eastAsia="ar-SA"/>
        </w:rPr>
        <w:t xml:space="preserve"> в составе показателя (-ей) , определяется исходя из фактической численности муниципальных служащих, отраженной в отчете «Отчет о расходах и численности работников органов местного самоуправления» (форма 14МО) по состоянию на 01 января 2024года в соответствии с приказом Министерства финансов РФ от 28.12.2017года №259н «Об утверждении форм отчетов о расходах и численности работников федеральных государственных органов, государственных органов субъектов РФ , органов  местного самоуправления» входящих в состав муниципальной управленческой команды в соответствии с Указом,  из расчета 23000 рублей на одну расчетную единицу.  </w:t>
      </w:r>
    </w:p>
    <w:p w:rsidR="0099204D" w:rsidRDefault="0099204D" w:rsidP="0099204D">
      <w:pPr>
        <w:shd w:val="clear" w:color="auto" w:fill="FFFFFF" w:themeFill="background1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7. Размер поощрения муниципальных служащего, работников органов местного самоуправления, не являющегося муниципальным служащим, участвующего в мероприятиях по достижению значений (уровней) показателя (</w:t>
      </w:r>
      <w:proofErr w:type="gramStart"/>
      <w:r>
        <w:rPr>
          <w:sz w:val="28"/>
          <w:szCs w:val="28"/>
          <w:lang w:eastAsia="ar-SA"/>
        </w:rPr>
        <w:t>ей)  (</w:t>
      </w:r>
      <w:proofErr w:type="gramEnd"/>
      <w:r>
        <w:rPr>
          <w:sz w:val="28"/>
          <w:szCs w:val="28"/>
          <w:lang w:val="en-US" w:eastAsia="ar-SA"/>
        </w:rPr>
        <w:t>KPI</w:t>
      </w:r>
      <w:r>
        <w:rPr>
          <w:sz w:val="28"/>
          <w:szCs w:val="28"/>
          <w:lang w:eastAsia="ar-SA"/>
        </w:rPr>
        <w:t xml:space="preserve"> в составе показателя (-ей),в городском, сельском поселении</w:t>
      </w:r>
      <w:r>
        <w:rPr>
          <w:sz w:val="28"/>
          <w:szCs w:val="28"/>
        </w:rPr>
        <w:t>, определяется муниципальным правовым актом и не может превышать 100000 рублей.</w:t>
      </w:r>
    </w:p>
    <w:p w:rsidR="0099204D" w:rsidRDefault="0099204D" w:rsidP="0099204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8. При определении конкретного размера поощрения лиц, указанных в пункте 3 настоящего Порядка, сумма поощрения подлежит округлению до целого рубля.</w:t>
      </w:r>
    </w:p>
    <w:p w:rsidR="0099204D" w:rsidRDefault="0099204D" w:rsidP="0099204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9. Администрации муниципального образования «Хакуринохабльское сельское поселение» несет ответственность за целевое использование доведенных средств.</w:t>
      </w:r>
      <w:r>
        <w:rPr>
          <w:bCs/>
          <w:sz w:val="28"/>
          <w:szCs w:val="28"/>
          <w:lang w:eastAsia="ar-SA"/>
        </w:rPr>
        <w:t xml:space="preserve">                                  </w:t>
      </w:r>
    </w:p>
    <w:p w:rsidR="0099204D" w:rsidRDefault="0099204D" w:rsidP="0099204D">
      <w:pPr>
        <w:pStyle w:val="a5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66E77" w:rsidRDefault="00366E77"/>
    <w:sectPr w:rsidR="0036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6EB5"/>
    <w:multiLevelType w:val="hybridMultilevel"/>
    <w:tmpl w:val="9A5E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D8"/>
    <w:rsid w:val="00366E77"/>
    <w:rsid w:val="006E4CDC"/>
    <w:rsid w:val="0099204D"/>
    <w:rsid w:val="00C749D8"/>
    <w:rsid w:val="00D33147"/>
    <w:rsid w:val="00D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B1CD"/>
  <w15:chartTrackingRefBased/>
  <w15:docId w15:val="{E1977543-BF6F-4A17-AE64-AE74D7F0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4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9204D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9204D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9204D"/>
    <w:rPr>
      <w:rFonts w:eastAsia="Arial Unicode MS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9204D"/>
    <w:rPr>
      <w:rFonts w:eastAsia="Arial Unicode MS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9204D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9204D"/>
    <w:rPr>
      <w:rFonts w:eastAsia="Times New Roman" w:cs="Times New Roman"/>
      <w:b/>
      <w:i/>
      <w:szCs w:val="20"/>
      <w:lang w:eastAsia="ru-RU"/>
    </w:rPr>
  </w:style>
  <w:style w:type="paragraph" w:styleId="a5">
    <w:name w:val="No Spacing"/>
    <w:qFormat/>
    <w:rsid w:val="0099204D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a6">
    <w:name w:val="Абзац списка Знак"/>
    <w:aliases w:val="ТЗ список Знак"/>
    <w:link w:val="a7"/>
    <w:uiPriority w:val="34"/>
    <w:locked/>
    <w:rsid w:val="0099204D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6"/>
    <w:uiPriority w:val="34"/>
    <w:qFormat/>
    <w:rsid w:val="0099204D"/>
    <w:pPr>
      <w:ind w:left="720"/>
      <w:contextualSpacing/>
    </w:pPr>
  </w:style>
  <w:style w:type="paragraph" w:customStyle="1" w:styleId="Standard">
    <w:name w:val="Standard"/>
    <w:rsid w:val="0099204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E4C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4C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2024-08-05T11:38:00Z</cp:lastPrinted>
  <dcterms:created xsi:type="dcterms:W3CDTF">2024-08-05T08:40:00Z</dcterms:created>
  <dcterms:modified xsi:type="dcterms:W3CDTF">2024-08-05T11:39:00Z</dcterms:modified>
</cp:coreProperties>
</file>