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1420" w:val="left"/>
          <w:tab w:leader="none" w:pos="4677" w:val="center"/>
        </w:tabs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Управление Федеральной службы </w:t>
      </w:r>
      <w:r>
        <w:rPr>
          <w:b w:val="1"/>
          <w:i w:val="1"/>
          <w:sz w:val="28"/>
        </w:rPr>
        <w:t xml:space="preserve">государственной регистрации, кадастра и картографии </w:t>
      </w:r>
      <w:r>
        <w:rPr>
          <w:b w:val="1"/>
          <w:i w:val="1"/>
          <w:sz w:val="28"/>
        </w:rPr>
        <w:t>по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Республике Адыгея</w:t>
      </w:r>
    </w:p>
    <w:p w14:paraId="02000000">
      <w:pPr>
        <w:tabs>
          <w:tab w:leader="none" w:pos="1420" w:val="left"/>
          <w:tab w:leader="none" w:pos="4677" w:val="center"/>
        </w:tabs>
        <w:ind/>
        <w:jc w:val="center"/>
        <w:rPr>
          <w:b w:val="1"/>
          <w:i w:val="1"/>
          <w:sz w:val="28"/>
        </w:rPr>
      </w:pPr>
    </w:p>
    <w:p w14:paraId="03000000">
      <w:pPr>
        <w:tabs>
          <w:tab w:leader="none" w:pos="1420" w:val="left"/>
          <w:tab w:leader="none" w:pos="4677" w:val="center"/>
        </w:tabs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385000 г. Майкоп, ул. Краснооктябрьская, 44</w:t>
      </w:r>
    </w:p>
    <w:p w14:paraId="04000000">
      <w:pPr>
        <w:tabs>
          <w:tab w:leader="none" w:pos="1420" w:val="left"/>
          <w:tab w:leader="none" w:pos="4677" w:val="center"/>
        </w:tabs>
        <w:ind/>
        <w:jc w:val="center"/>
        <w:rPr>
          <w:b w:val="1"/>
          <w:i w:val="1"/>
          <w:sz w:val="28"/>
        </w:rPr>
      </w:pPr>
    </w:p>
    <w:p w14:paraId="05000000">
      <w:pPr>
        <w:tabs>
          <w:tab w:leader="none" w:pos="1420" w:val="left"/>
          <w:tab w:leader="none" w:pos="4677" w:val="center"/>
        </w:tabs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Банковские реквизиты</w:t>
      </w:r>
    </w:p>
    <w:p w14:paraId="06000000">
      <w:pPr>
        <w:ind/>
        <w:jc w:val="center"/>
        <w:rPr>
          <w:b w:val="1"/>
          <w:i w:val="1"/>
          <w:sz w:val="28"/>
        </w:rPr>
      </w:pPr>
    </w:p>
    <w:p w14:paraId="07000000">
      <w:pPr>
        <w:spacing w:line="360" w:lineRule="auto"/>
        <w:ind/>
        <w:rPr>
          <w:b w:val="1"/>
          <w:sz w:val="32"/>
        </w:rPr>
      </w:pPr>
      <w:r>
        <w:rPr>
          <w:b w:val="1"/>
          <w:sz w:val="32"/>
          <w:u w:val="single"/>
        </w:rPr>
        <w:t>Получатель:</w:t>
      </w:r>
      <w:r>
        <w:rPr>
          <w:b w:val="1"/>
          <w:sz w:val="32"/>
        </w:rPr>
        <w:t xml:space="preserve">  </w:t>
      </w:r>
      <w:r>
        <w:rPr>
          <w:b w:val="1"/>
          <w:sz w:val="32"/>
        </w:rPr>
        <w:t xml:space="preserve">ИНН </w:t>
      </w:r>
      <w:r>
        <w:rPr>
          <w:b w:val="1"/>
          <w:sz w:val="32"/>
        </w:rPr>
        <w:t>0105043820</w:t>
      </w:r>
      <w:r>
        <w:rPr>
          <w:b w:val="1"/>
          <w:sz w:val="32"/>
        </w:rPr>
        <w:t xml:space="preserve">   КПП 010501001</w:t>
      </w:r>
    </w:p>
    <w:p w14:paraId="08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УФК по Республике Адыгея (</w:t>
      </w:r>
      <w:r>
        <w:rPr>
          <w:b w:val="1"/>
          <w:sz w:val="28"/>
        </w:rPr>
        <w:t xml:space="preserve">Управление Федеральной службы </w:t>
      </w:r>
      <w:r>
        <w:rPr>
          <w:b w:val="1"/>
          <w:sz w:val="28"/>
        </w:rPr>
        <w:t xml:space="preserve">государственной регистрации, кадастра и картографии </w:t>
      </w:r>
      <w:r>
        <w:rPr>
          <w:b w:val="1"/>
          <w:sz w:val="28"/>
        </w:rPr>
        <w:t>по Республике Адыгея</w:t>
      </w:r>
      <w:r>
        <w:rPr>
          <w:b w:val="1"/>
          <w:sz w:val="28"/>
        </w:rPr>
        <w:t xml:space="preserve"> л/с </w:t>
      </w:r>
      <w:r>
        <w:rPr>
          <w:b w:val="1"/>
          <w:sz w:val="28"/>
        </w:rPr>
        <w:t>04761</w:t>
      </w:r>
      <w:r>
        <w:rPr>
          <w:b w:val="1"/>
          <w:sz w:val="28"/>
        </w:rPr>
        <w:t>W</w:t>
      </w:r>
      <w:r>
        <w:rPr>
          <w:b w:val="1"/>
          <w:sz w:val="28"/>
        </w:rPr>
        <w:t>00630</w:t>
      </w:r>
      <w:r>
        <w:rPr>
          <w:b w:val="1"/>
          <w:sz w:val="28"/>
        </w:rPr>
        <w:t>)</w:t>
      </w:r>
    </w:p>
    <w:p w14:paraId="09000000">
      <w:pPr>
        <w:rPr>
          <w:b w:val="1"/>
          <w:sz w:val="28"/>
          <w:u w:val="single"/>
        </w:rPr>
      </w:pPr>
    </w:p>
    <w:p w14:paraId="0A000000">
      <w:pPr>
        <w:rPr>
          <w:b w:val="1"/>
          <w:sz w:val="28"/>
        </w:rPr>
      </w:pPr>
      <w:r>
        <w:rPr>
          <w:b w:val="1"/>
          <w:sz w:val="28"/>
        </w:rPr>
        <w:t>Банк получателя</w:t>
      </w:r>
      <w:r>
        <w:rPr>
          <w:b w:val="1"/>
          <w:sz w:val="28"/>
        </w:rPr>
        <w:t xml:space="preserve">: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ОТДЕЛЕНИЕ-НБ РЕСПУБЛИКА </w:t>
      </w:r>
      <w:r>
        <w:rPr>
          <w:b w:val="1"/>
          <w:sz w:val="28"/>
        </w:rPr>
        <w:t>АДЫГЕЯ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// УФК</w:t>
      </w:r>
      <w:r>
        <w:rPr>
          <w:b w:val="1"/>
          <w:sz w:val="28"/>
        </w:rPr>
        <w:t xml:space="preserve"> по Республике Адыгея</w:t>
      </w:r>
      <w:r>
        <w:rPr>
          <w:b w:val="1"/>
          <w:sz w:val="28"/>
        </w:rPr>
        <w:t xml:space="preserve">  г. Майкоп</w:t>
      </w:r>
      <w:r>
        <w:rPr>
          <w:b w:val="1"/>
          <w:sz w:val="28"/>
        </w:rPr>
        <w:t xml:space="preserve"> </w:t>
      </w:r>
    </w:p>
    <w:p w14:paraId="0B000000">
      <w:pPr>
        <w:rPr>
          <w:b w:val="1"/>
          <w:sz w:val="28"/>
        </w:rPr>
      </w:pPr>
      <w:r>
        <w:rPr>
          <w:b w:val="1"/>
          <w:sz w:val="28"/>
        </w:rPr>
        <w:t xml:space="preserve">Номер счета банка получателя – </w:t>
      </w:r>
      <w:r>
        <w:rPr>
          <w:b w:val="1"/>
          <w:sz w:val="32"/>
        </w:rPr>
        <w:t>40102810145370000066</w:t>
      </w:r>
    </w:p>
    <w:p w14:paraId="0C000000">
      <w:pPr>
        <w:ind/>
        <w:jc w:val="both"/>
        <w:rPr>
          <w:b w:val="1"/>
          <w:sz w:val="32"/>
        </w:rPr>
      </w:pPr>
      <w:r>
        <w:rPr>
          <w:b w:val="1"/>
          <w:sz w:val="28"/>
        </w:rPr>
        <w:t>БИК</w:t>
      </w:r>
      <w:r>
        <w:rPr>
          <w:b w:val="1"/>
          <w:sz w:val="32"/>
        </w:rPr>
        <w:t xml:space="preserve">: </w:t>
      </w:r>
      <w:r>
        <w:rPr>
          <w:b w:val="1"/>
          <w:sz w:val="32"/>
        </w:rPr>
        <w:t>0179</w:t>
      </w:r>
      <w:r>
        <w:rPr>
          <w:b w:val="1"/>
          <w:sz w:val="32"/>
        </w:rPr>
        <w:t>08101</w:t>
      </w:r>
    </w:p>
    <w:p w14:paraId="0D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Номер счета получателя –</w:t>
      </w:r>
      <w:r>
        <w:rPr>
          <w:b w:val="1"/>
          <w:sz w:val="32"/>
        </w:rPr>
        <w:t>03100643000000017600</w:t>
      </w:r>
    </w:p>
    <w:p w14:paraId="0E000000">
      <w:pPr>
        <w:ind/>
        <w:jc w:val="both"/>
        <w:rPr>
          <w:b w:val="1"/>
          <w:sz w:val="32"/>
        </w:rPr>
      </w:pPr>
    </w:p>
    <w:p w14:paraId="0F000000">
      <w:pPr>
        <w:ind/>
        <w:jc w:val="both"/>
        <w:rPr>
          <w:b w:val="1"/>
          <w:sz w:val="28"/>
          <w:u w:val="single"/>
        </w:rPr>
      </w:pPr>
      <w:r>
        <w:rPr>
          <w:b w:val="1"/>
          <w:sz w:val="28"/>
        </w:rPr>
        <w:t xml:space="preserve">КБК – </w:t>
      </w:r>
      <w:r>
        <w:rPr>
          <w:b w:val="1"/>
          <w:sz w:val="28"/>
          <w:u w:val="single"/>
        </w:rPr>
        <w:t>32110807020011000110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– государственная пошлина за </w:t>
      </w:r>
      <w:r>
        <w:rPr>
          <w:sz w:val="28"/>
        </w:rPr>
        <w:t xml:space="preserve">государственную </w:t>
      </w:r>
      <w:r>
        <w:rPr>
          <w:sz w:val="28"/>
        </w:rPr>
        <w:t>регистрацию прав на недвижимое имущество</w:t>
      </w:r>
      <w:r>
        <w:rPr>
          <w:sz w:val="28"/>
        </w:rPr>
        <w:t xml:space="preserve"> и сделок с ним</w:t>
      </w:r>
      <w:r>
        <w:rPr>
          <w:sz w:val="28"/>
        </w:rPr>
        <w:t xml:space="preserve">, оплаченная и предъявленная на регистрацию через </w:t>
      </w:r>
      <w:r>
        <w:rPr>
          <w:b w:val="1"/>
          <w:sz w:val="28"/>
          <w:u w:val="single"/>
        </w:rPr>
        <w:t>филиал ФГБУ «ФКП Росреестра по Республике Адыгея»</w:t>
      </w:r>
      <w:r>
        <w:rPr>
          <w:b w:val="1"/>
          <w:sz w:val="28"/>
          <w:u w:val="single"/>
        </w:rPr>
        <w:t>;</w:t>
      </w:r>
    </w:p>
    <w:p w14:paraId="10000000">
      <w:pPr>
        <w:ind/>
        <w:jc w:val="both"/>
        <w:rPr>
          <w:sz w:val="28"/>
        </w:rPr>
      </w:pPr>
    </w:p>
    <w:p w14:paraId="11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КБК – </w:t>
      </w:r>
      <w:r>
        <w:rPr>
          <w:b w:val="1"/>
          <w:sz w:val="28"/>
          <w:u w:val="single"/>
        </w:rPr>
        <w:t>32110807020018000110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– государственная пошлина за государственную регистрацию прав на недвижимое имущество и сделок с ним, оплаченная и предъявленная на регистрацию через </w:t>
      </w:r>
      <w:r>
        <w:rPr>
          <w:b w:val="1"/>
          <w:sz w:val="28"/>
          <w:u w:val="single"/>
        </w:rPr>
        <w:t>многофункциональные центры</w:t>
      </w:r>
      <w:r>
        <w:rPr>
          <w:b w:val="1"/>
          <w:sz w:val="28"/>
          <w:u w:val="single"/>
        </w:rPr>
        <w:t>;</w:t>
      </w:r>
      <w:r>
        <w:rPr>
          <w:sz w:val="28"/>
        </w:rPr>
        <w:t xml:space="preserve"> </w:t>
      </w:r>
    </w:p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КБК – </w:t>
      </w:r>
      <w:r>
        <w:rPr>
          <w:b w:val="1"/>
          <w:sz w:val="28"/>
          <w:u w:val="single"/>
        </w:rPr>
        <w:t>321113010310160001</w:t>
      </w:r>
      <w:r>
        <w:rPr>
          <w:b w:val="1"/>
          <w:sz w:val="28"/>
          <w:u w:val="single"/>
        </w:rPr>
        <w:t>30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– плата за предоставление сведений из Единого государственного реестра недвижимости; </w:t>
      </w: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КБК – </w:t>
      </w:r>
      <w:r>
        <w:rPr>
          <w:b w:val="1"/>
          <w:sz w:val="28"/>
          <w:u w:val="single"/>
        </w:rPr>
        <w:t>3211130103</w:t>
      </w:r>
      <w:r>
        <w:rPr>
          <w:b w:val="1"/>
          <w:sz w:val="28"/>
          <w:u w:val="single"/>
        </w:rPr>
        <w:t>1</w:t>
      </w:r>
      <w:r>
        <w:rPr>
          <w:b w:val="1"/>
          <w:sz w:val="28"/>
          <w:u w:val="single"/>
        </w:rPr>
        <w:t>01600</w:t>
      </w:r>
      <w:r>
        <w:rPr>
          <w:b w:val="1"/>
          <w:sz w:val="28"/>
          <w:u w:val="single"/>
        </w:rPr>
        <w:t>1</w:t>
      </w:r>
      <w:r>
        <w:rPr>
          <w:b w:val="1"/>
          <w:sz w:val="28"/>
          <w:u w:val="single"/>
        </w:rPr>
        <w:t>130</w:t>
      </w:r>
      <w:r>
        <w:rPr>
          <w:b w:val="1"/>
          <w:sz w:val="28"/>
        </w:rPr>
        <w:t xml:space="preserve"> </w:t>
      </w:r>
      <w:r>
        <w:rPr>
          <w:sz w:val="28"/>
        </w:rPr>
        <w:t>– плата за предоставление</w:t>
      </w:r>
      <w:r>
        <w:rPr>
          <w:sz w:val="28"/>
        </w:rPr>
        <w:t xml:space="preserve"> филиалами ФГБУ «ФКП Росреестра»</w:t>
      </w:r>
      <w:r>
        <w:rPr>
          <w:sz w:val="28"/>
        </w:rPr>
        <w:t xml:space="preserve"> </w:t>
      </w:r>
      <w:r>
        <w:rPr>
          <w:sz w:val="28"/>
        </w:rPr>
        <w:t>сведений, содержащихся в</w:t>
      </w:r>
      <w:r>
        <w:rPr>
          <w:sz w:val="28"/>
        </w:rPr>
        <w:t xml:space="preserve"> Едино</w:t>
      </w:r>
      <w:r>
        <w:rPr>
          <w:sz w:val="28"/>
        </w:rPr>
        <w:t>м</w:t>
      </w:r>
      <w:r>
        <w:rPr>
          <w:sz w:val="28"/>
        </w:rPr>
        <w:t xml:space="preserve"> государ</w:t>
      </w:r>
      <w:r>
        <w:rPr>
          <w:sz w:val="28"/>
        </w:rPr>
        <w:t>ственном реестре недвижимости;</w:t>
      </w: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КБК – </w:t>
      </w:r>
      <w:r>
        <w:rPr>
          <w:b w:val="1"/>
          <w:sz w:val="28"/>
          <w:u w:val="single"/>
        </w:rPr>
        <w:t>3211</w:t>
      </w:r>
      <w:r>
        <w:rPr>
          <w:b w:val="1"/>
          <w:sz w:val="28"/>
          <w:u w:val="single"/>
        </w:rPr>
        <w:t>130103</w:t>
      </w:r>
      <w:r>
        <w:rPr>
          <w:b w:val="1"/>
          <w:sz w:val="28"/>
          <w:u w:val="single"/>
        </w:rPr>
        <w:t>1</w:t>
      </w:r>
      <w:r>
        <w:rPr>
          <w:b w:val="1"/>
          <w:sz w:val="28"/>
          <w:u w:val="single"/>
        </w:rPr>
        <w:t>018000130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– плата за предоставление сведений из Единого государственного реестра недвижимости (при обращении через </w:t>
      </w:r>
      <w:r>
        <w:rPr>
          <w:b w:val="1"/>
          <w:sz w:val="28"/>
        </w:rPr>
        <w:t>многофункциональные центры</w:t>
      </w:r>
      <w:r>
        <w:rPr>
          <w:sz w:val="28"/>
        </w:rPr>
        <w:t>)</w:t>
      </w:r>
      <w:r>
        <w:rPr>
          <w:sz w:val="28"/>
        </w:rPr>
        <w:t>.</w:t>
      </w:r>
    </w:p>
    <w:p w14:paraId="18000000">
      <w:pPr>
        <w:ind/>
        <w:jc w:val="both"/>
        <w:rPr>
          <w:b w:val="1"/>
          <w:sz w:val="28"/>
          <w:u w:val="single"/>
        </w:rPr>
      </w:pPr>
    </w:p>
    <w:p w14:paraId="19000000">
      <w:pPr>
        <w:ind/>
        <w:jc w:val="both"/>
        <w:rPr>
          <w:color w:val="000000"/>
          <w:sz w:val="28"/>
        </w:rPr>
      </w:pPr>
      <w:r>
        <w:rPr>
          <w:b w:val="1"/>
          <w:sz w:val="28"/>
        </w:rPr>
        <w:t xml:space="preserve">КБК – </w:t>
      </w:r>
      <w:r>
        <w:rPr>
          <w:b w:val="1"/>
          <w:color w:val="000000"/>
          <w:sz w:val="28"/>
          <w:u w:val="single"/>
        </w:rPr>
        <w:t>321 1 16 10121 010001 140</w:t>
      </w:r>
      <w:r>
        <w:rPr>
          <w:b w:val="1"/>
          <w:color w:val="000000"/>
          <w:sz w:val="28"/>
        </w:rPr>
        <w:t xml:space="preserve">   </w:t>
      </w:r>
      <w:r>
        <w:rPr>
          <w:color w:val="000000"/>
          <w:sz w:val="28"/>
        </w:rPr>
        <w:t>«Доходы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по нормативам, действовавшим в 2019 году (за исключением доходов, направляемых на формирование Федерального дорожного фонда)»</w:t>
      </w:r>
    </w:p>
    <w:p w14:paraId="1A000000">
      <w:pPr>
        <w:ind/>
        <w:jc w:val="both"/>
        <w:rPr>
          <w:color w:val="000000"/>
          <w:sz w:val="28"/>
        </w:rPr>
      </w:pPr>
    </w:p>
    <w:p w14:paraId="1B000000">
      <w:pPr>
        <w:spacing w:after="120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КБК – </w:t>
      </w:r>
      <w:r>
        <w:rPr>
          <w:b w:val="1"/>
          <w:sz w:val="28"/>
          <w:u w:val="single"/>
        </w:rPr>
        <w:t xml:space="preserve">321 1 08 07081 01 0300 110 </w:t>
      </w:r>
      <w:r>
        <w:rPr>
          <w:sz w:val="28"/>
        </w:rPr>
        <w:t>«Государственная пошлина за совершение действий, связанных  с лицензирование, с проведе</w:t>
      </w:r>
      <w:r>
        <w:rPr>
          <w:sz w:val="28"/>
        </w:rPr>
        <w:t>нием аттестации в случаях, если такая аттестация предусмотрена законодательством Российской Федерации, зачисляемая в федеральный бюджет (государственная пошлина за предоставление лицензии)»</w:t>
      </w:r>
      <w:r>
        <w:rPr>
          <w:b w:val="1"/>
          <w:sz w:val="28"/>
        </w:rPr>
        <w:t xml:space="preserve"> </w:t>
      </w:r>
    </w:p>
    <w:p w14:paraId="1C000000">
      <w:pPr>
        <w:spacing w:after="120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КБК – </w:t>
      </w:r>
      <w:r>
        <w:rPr>
          <w:b w:val="1"/>
          <w:sz w:val="28"/>
          <w:u w:val="single"/>
        </w:rPr>
        <w:t>321 1 16 01071 01 0001 140</w:t>
      </w:r>
      <w:r>
        <w:rPr>
          <w:b w:val="1"/>
          <w:sz w:val="28"/>
        </w:rPr>
        <w:t xml:space="preserve"> </w:t>
      </w:r>
      <w:r>
        <w:rPr>
          <w:b w:val="1"/>
          <w:color w:val="000000"/>
          <w:sz w:val="28"/>
        </w:rPr>
        <w:t xml:space="preserve"> «</w:t>
      </w:r>
      <w:r>
        <w:rPr>
          <w:color w:val="000000"/>
          <w:sz w:val="28"/>
        </w:rPr>
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правонарушениях в области охраны собственности, налагаемые судьями федеральных судов, должностными лицами федеральных государственных органов, учреждений Центрального банка Российской Федерации (штраф за  самовольное занятие земельного участка)».</w:t>
      </w:r>
      <w:r>
        <w:rPr>
          <w:sz w:val="28"/>
        </w:rPr>
        <w:t xml:space="preserve"> </w:t>
      </w:r>
    </w:p>
    <w:p w14:paraId="1D000000">
      <w:pPr>
        <w:ind w:firstLine="709"/>
        <w:jc w:val="both"/>
        <w:rPr>
          <w:color w:val="000000"/>
          <w:sz w:val="28"/>
        </w:rPr>
      </w:pPr>
    </w:p>
    <w:p w14:paraId="1E000000">
      <w:pPr>
        <w:rPr>
          <w:sz w:val="28"/>
        </w:rPr>
      </w:pPr>
      <w:r>
        <w:rPr>
          <w:b w:val="1"/>
          <w:sz w:val="28"/>
        </w:rPr>
        <w:t xml:space="preserve">КБК – </w:t>
      </w:r>
      <w:r>
        <w:rPr>
          <w:b w:val="1"/>
          <w:color w:val="000000"/>
          <w:sz w:val="28"/>
          <w:u w:val="single"/>
        </w:rPr>
        <w:t>3211 16 0108101 0008 140</w:t>
      </w:r>
      <w:r>
        <w:rPr>
          <w:b w:val="1"/>
          <w:color w:val="000000"/>
          <w:sz w:val="28"/>
        </w:rPr>
        <w:t xml:space="preserve">  </w:t>
      </w:r>
      <w:r>
        <w:rPr>
          <w:color w:val="000000"/>
          <w:sz w:val="28"/>
        </w:rPr>
        <w:t>«Административные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назначению)».</w:t>
      </w:r>
    </w:p>
    <w:p w14:paraId="1F000000">
      <w:pPr>
        <w:rPr>
          <w:sz w:val="28"/>
        </w:rPr>
      </w:pPr>
    </w:p>
    <w:p w14:paraId="20000000">
      <w:pPr>
        <w:tabs>
          <w:tab w:leader="none" w:pos="720" w:val="left"/>
        </w:tabs>
        <w:spacing w:line="360" w:lineRule="auto"/>
        <w:ind w:firstLine="720"/>
        <w:jc w:val="both"/>
        <w:rPr>
          <w:b w:val="1"/>
        </w:rPr>
      </w:pPr>
    </w:p>
    <w:p w14:paraId="21000000">
      <w:pPr>
        <w:tabs>
          <w:tab w:leader="none" w:pos="1418" w:val="left"/>
          <w:tab w:leader="none" w:pos="6946" w:val="left"/>
        </w:tabs>
        <w:spacing w:line="360" w:lineRule="auto"/>
        <w:ind/>
        <w:rPr>
          <w:b w:val="1"/>
          <w:sz w:val="26"/>
        </w:rPr>
      </w:pPr>
      <w:r>
        <w:rPr>
          <w:b w:val="1"/>
          <w:sz w:val="26"/>
          <w:u w:val="single"/>
        </w:rPr>
        <w:t>ОКТ</w:t>
      </w:r>
      <w:r>
        <w:rPr>
          <w:b w:val="1"/>
          <w:sz w:val="26"/>
          <w:u w:val="single"/>
        </w:rPr>
        <w:t>M</w:t>
      </w:r>
      <w:r>
        <w:rPr>
          <w:b w:val="1"/>
          <w:sz w:val="26"/>
          <w:u w:val="single"/>
        </w:rPr>
        <w:t>О</w:t>
      </w:r>
      <w:r>
        <w:rPr>
          <w:b w:val="1"/>
          <w:sz w:val="26"/>
        </w:rPr>
        <w:t xml:space="preserve">   Майкопский городской отдел                     </w:t>
      </w:r>
      <w:r>
        <w:rPr>
          <w:b w:val="1"/>
          <w:sz w:val="26"/>
        </w:rPr>
        <w:t xml:space="preserve">       </w:t>
      </w:r>
      <w:r>
        <w:rPr>
          <w:b w:val="1"/>
          <w:sz w:val="26"/>
        </w:rPr>
        <w:t>79701000</w:t>
      </w:r>
    </w:p>
    <w:p w14:paraId="22000000">
      <w:pPr>
        <w:spacing w:line="360" w:lineRule="auto"/>
        <w:ind/>
        <w:rPr>
          <w:b w:val="1"/>
          <w:sz w:val="26"/>
        </w:rPr>
      </w:pPr>
      <w:r>
        <w:rPr>
          <w:b w:val="1"/>
          <w:sz w:val="26"/>
        </w:rPr>
        <w:t xml:space="preserve">                  Майкопский районный отдел                   </w:t>
      </w:r>
      <w:r>
        <w:rPr>
          <w:b w:val="1"/>
          <w:sz w:val="26"/>
        </w:rPr>
        <w:t xml:space="preserve">  </w:t>
      </w:r>
      <w:r>
        <w:rPr>
          <w:b w:val="1"/>
          <w:sz w:val="26"/>
        </w:rPr>
        <w:t xml:space="preserve">  </w:t>
      </w:r>
      <w:r>
        <w:rPr>
          <w:b w:val="1"/>
          <w:sz w:val="26"/>
        </w:rPr>
        <w:t xml:space="preserve">     </w:t>
      </w:r>
      <w:r>
        <w:rPr>
          <w:b w:val="1"/>
          <w:sz w:val="26"/>
        </w:rPr>
        <w:t>79622455</w:t>
      </w:r>
    </w:p>
    <w:p w14:paraId="23000000">
      <w:pPr>
        <w:spacing w:line="360" w:lineRule="auto"/>
        <w:ind/>
        <w:rPr>
          <w:b w:val="1"/>
          <w:sz w:val="26"/>
        </w:rPr>
      </w:pPr>
      <w:r>
        <w:rPr>
          <w:b w:val="1"/>
          <w:sz w:val="26"/>
        </w:rPr>
        <w:t xml:space="preserve">                  Тахтамукайский отдел                                </w:t>
      </w:r>
      <w:r>
        <w:rPr>
          <w:b w:val="1"/>
          <w:sz w:val="26"/>
        </w:rPr>
        <w:t xml:space="preserve">  </w:t>
      </w:r>
      <w:r>
        <w:rPr>
          <w:b w:val="1"/>
          <w:sz w:val="26"/>
        </w:rPr>
        <w:t xml:space="preserve">  </w:t>
      </w:r>
      <w:r>
        <w:rPr>
          <w:b w:val="1"/>
          <w:sz w:val="26"/>
        </w:rPr>
        <w:t xml:space="preserve">     </w:t>
      </w:r>
      <w:r>
        <w:rPr>
          <w:b w:val="1"/>
          <w:sz w:val="26"/>
        </w:rPr>
        <w:t>79630</w:t>
      </w:r>
      <w:r>
        <w:rPr>
          <w:b w:val="1"/>
          <w:sz w:val="26"/>
        </w:rPr>
        <w:t>420</w:t>
      </w:r>
    </w:p>
    <w:p w14:paraId="24000000">
      <w:pPr>
        <w:spacing w:line="360" w:lineRule="auto"/>
        <w:ind/>
        <w:rPr>
          <w:b w:val="1"/>
          <w:sz w:val="26"/>
        </w:rPr>
      </w:pPr>
      <w:r>
        <w:rPr>
          <w:b w:val="1"/>
          <w:sz w:val="26"/>
        </w:rPr>
        <w:t xml:space="preserve">                  Адыгейский отдел (</w:t>
      </w:r>
      <w:r>
        <w:rPr>
          <w:b w:val="1"/>
          <w:sz w:val="26"/>
        </w:rPr>
        <w:t>Теучежский район</w:t>
      </w:r>
      <w:r>
        <w:rPr>
          <w:b w:val="1"/>
          <w:sz w:val="26"/>
        </w:rPr>
        <w:t xml:space="preserve">)   </w:t>
      </w:r>
      <w:r>
        <w:rPr>
          <w:b w:val="1"/>
          <w:sz w:val="26"/>
        </w:rPr>
        <w:t xml:space="preserve">        </w:t>
      </w:r>
      <w:r>
        <w:rPr>
          <w:b w:val="1"/>
          <w:sz w:val="26"/>
        </w:rPr>
        <w:t>79633430</w:t>
      </w:r>
    </w:p>
    <w:p w14:paraId="25000000">
      <w:pPr>
        <w:tabs>
          <w:tab w:leader="none" w:pos="1418" w:val="left"/>
        </w:tabs>
        <w:spacing w:line="360" w:lineRule="auto"/>
        <w:ind/>
        <w:rPr>
          <w:b w:val="1"/>
          <w:sz w:val="26"/>
        </w:rPr>
      </w:pPr>
      <w:r>
        <w:rPr>
          <w:b w:val="1"/>
          <w:sz w:val="26"/>
        </w:rPr>
        <w:t xml:space="preserve">                  Адыгейский отдел </w:t>
      </w:r>
      <w:r>
        <w:rPr>
          <w:b w:val="1"/>
          <w:sz w:val="26"/>
        </w:rPr>
        <w:t>(г. Адыгейск)</w:t>
      </w:r>
      <w:r>
        <w:rPr>
          <w:b w:val="1"/>
          <w:sz w:val="26"/>
        </w:rPr>
        <w:t xml:space="preserve">                 </w:t>
      </w:r>
      <w:r>
        <w:rPr>
          <w:b w:val="1"/>
          <w:sz w:val="26"/>
        </w:rPr>
        <w:t xml:space="preserve">      </w:t>
      </w:r>
      <w:r>
        <w:rPr>
          <w:b w:val="1"/>
          <w:sz w:val="26"/>
        </w:rPr>
        <w:t>79703000</w:t>
      </w:r>
    </w:p>
    <w:p w14:paraId="26000000">
      <w:pPr>
        <w:spacing w:line="360" w:lineRule="auto"/>
        <w:ind/>
        <w:rPr>
          <w:b w:val="1"/>
          <w:sz w:val="26"/>
        </w:rPr>
      </w:pPr>
      <w:r>
        <w:rPr>
          <w:b w:val="1"/>
          <w:sz w:val="26"/>
        </w:rPr>
        <w:t xml:space="preserve">                  Кошехабльский отдел (а. Кошехабль)        </w:t>
      </w:r>
      <w:r>
        <w:rPr>
          <w:b w:val="1"/>
          <w:sz w:val="26"/>
        </w:rPr>
        <w:t xml:space="preserve">      </w:t>
      </w:r>
      <w:r>
        <w:rPr>
          <w:b w:val="1"/>
          <w:sz w:val="26"/>
        </w:rPr>
        <w:t>79615420</w:t>
      </w:r>
    </w:p>
    <w:p w14:paraId="27000000">
      <w:pPr>
        <w:spacing w:line="360" w:lineRule="auto"/>
        <w:ind/>
        <w:rPr>
          <w:b w:val="1"/>
          <w:sz w:val="26"/>
        </w:rPr>
      </w:pPr>
      <w:r>
        <w:rPr>
          <w:b w:val="1"/>
          <w:sz w:val="26"/>
        </w:rPr>
        <w:t xml:space="preserve">                  Кошехабльский отдел (а.Хакуринохабль) </w:t>
      </w:r>
      <w:r>
        <w:rPr>
          <w:b w:val="1"/>
          <w:sz w:val="26"/>
        </w:rPr>
        <w:t xml:space="preserve">      </w:t>
      </w:r>
      <w:r>
        <w:rPr>
          <w:b w:val="1"/>
          <w:sz w:val="26"/>
        </w:rPr>
        <w:t>79640430</w:t>
      </w:r>
    </w:p>
    <w:p w14:paraId="28000000">
      <w:pPr>
        <w:spacing w:line="360" w:lineRule="auto"/>
        <w:ind/>
        <w:rPr>
          <w:b w:val="1"/>
          <w:sz w:val="26"/>
        </w:rPr>
      </w:pPr>
      <w:r>
        <w:rPr>
          <w:b w:val="1"/>
          <w:sz w:val="26"/>
        </w:rPr>
        <w:t xml:space="preserve">                  Гиагинский отдел </w:t>
      </w:r>
      <w:r>
        <w:rPr>
          <w:b w:val="1"/>
          <w:sz w:val="26"/>
        </w:rPr>
        <w:t>(ст.Гиагинская)</w:t>
      </w:r>
      <w:r>
        <w:rPr>
          <w:b w:val="1"/>
          <w:sz w:val="26"/>
        </w:rPr>
        <w:t xml:space="preserve">              </w:t>
      </w:r>
      <w:r>
        <w:rPr>
          <w:b w:val="1"/>
          <w:sz w:val="26"/>
        </w:rPr>
        <w:t xml:space="preserve">     </w:t>
      </w:r>
      <w:r>
        <w:rPr>
          <w:b w:val="1"/>
          <w:sz w:val="26"/>
        </w:rPr>
        <w:t>79605407</w:t>
      </w:r>
    </w:p>
    <w:p w14:paraId="29000000">
      <w:pPr>
        <w:spacing w:line="360" w:lineRule="auto"/>
        <w:ind/>
        <w:rPr>
          <w:b w:val="1"/>
          <w:sz w:val="26"/>
        </w:rPr>
      </w:pPr>
      <w:r>
        <w:rPr>
          <w:b w:val="1"/>
          <w:sz w:val="26"/>
        </w:rPr>
        <w:t xml:space="preserve">                  </w:t>
      </w:r>
      <w:r>
        <w:rPr>
          <w:b w:val="1"/>
          <w:sz w:val="26"/>
        </w:rPr>
        <w:t xml:space="preserve">Гиагинский </w:t>
      </w:r>
      <w:r>
        <w:rPr>
          <w:b w:val="1"/>
          <w:sz w:val="26"/>
        </w:rPr>
        <w:t>отдел</w:t>
      </w:r>
      <w:r>
        <w:rPr>
          <w:b w:val="1"/>
          <w:sz w:val="26"/>
        </w:rPr>
        <w:t xml:space="preserve"> (пос.Красногвардейский)  </w:t>
      </w:r>
      <w:r>
        <w:rPr>
          <w:b w:val="1"/>
          <w:sz w:val="26"/>
        </w:rPr>
        <w:t>79618420</w:t>
      </w:r>
    </w:p>
    <w:p w14:paraId="2A000000">
      <w:pPr>
        <w:tabs>
          <w:tab w:leader="none" w:pos="1418" w:val="left"/>
          <w:tab w:leader="none" w:pos="6946" w:val="left"/>
        </w:tabs>
        <w:spacing w:line="360" w:lineRule="auto"/>
        <w:ind/>
        <w:rPr>
          <w:b w:val="1"/>
          <w:sz w:val="30"/>
        </w:rPr>
      </w:pPr>
      <w:r>
        <w:rPr>
          <w:b w:val="1"/>
          <w:sz w:val="28"/>
          <w:u w:val="single"/>
        </w:rPr>
        <w:t>ОКТ</w:t>
      </w:r>
      <w:r>
        <w:rPr>
          <w:b w:val="1"/>
          <w:sz w:val="28"/>
          <w:u w:val="single"/>
        </w:rPr>
        <w:t>М</w:t>
      </w:r>
      <w:r>
        <w:rPr>
          <w:b w:val="1"/>
          <w:sz w:val="28"/>
          <w:u w:val="single"/>
        </w:rPr>
        <w:t>О</w:t>
      </w:r>
      <w:r>
        <w:rPr>
          <w:b w:val="1"/>
          <w:sz w:val="28"/>
        </w:rPr>
        <w:t xml:space="preserve">   </w:t>
      </w:r>
      <w:r>
        <w:rPr>
          <w:b w:val="1"/>
          <w:i w:val="1"/>
          <w:sz w:val="28"/>
        </w:rPr>
        <w:t>(указывается по месту совершения юридически значимого действия)</w:t>
      </w:r>
      <w:r>
        <w:rPr>
          <w:b w:val="1"/>
          <w:sz w:val="28"/>
        </w:rPr>
        <w:t xml:space="preserve">   </w:t>
      </w:r>
    </w:p>
    <w:sectPr>
      <w:pgSz w:h="16838" w:w="11906"/>
      <w:pgMar w:bottom="567" w:footer="708" w:gutter="0" w:header="708" w:left="1134" w:right="566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Balloon Text"/>
    <w:basedOn w:val="Style_1"/>
    <w:link w:val="Style_14_ch"/>
    <w:rPr>
      <w:rFonts w:ascii="Tahoma" w:hAnsi="Tahoma"/>
      <w:sz w:val="16"/>
    </w:rPr>
  </w:style>
  <w:style w:styleId="Style_14_ch" w:type="character">
    <w:name w:val="Balloon Text"/>
    <w:basedOn w:val="Style_1_ch"/>
    <w:link w:val="Style_14"/>
    <w:rPr>
      <w:rFonts w:ascii="Tahoma" w:hAnsi="Tahoma"/>
      <w:sz w:val="16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1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1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1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1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MyOffice-CoreFramework-Windows/20.0-761.255.4009.395.6@RELEASE-DESKTOP-QUASSIA-RC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2020-12-24T13:50:44Z</dcterms:modified>
</cp:coreProperties>
</file>